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9651" w14:textId="77777777" w:rsidR="00B04D1E" w:rsidRPr="0013285C" w:rsidRDefault="0013285C">
      <w:pPr>
        <w:pStyle w:val="afd"/>
      </w:pPr>
      <w:bookmarkStart w:id="0" w:name="_Hlk213335471"/>
      <w:bookmarkEnd w:id="0"/>
      <w:r w:rsidRPr="0013285C">
        <w:t>Supplementary material</w:t>
      </w:r>
    </w:p>
    <w:p w14:paraId="05B3AD06" w14:textId="77777777" w:rsidR="00B04D1E" w:rsidRPr="0013285C" w:rsidRDefault="00B04D1E">
      <w:pPr>
        <w:ind w:firstLine="420"/>
      </w:pPr>
    </w:p>
    <w:p w14:paraId="3607932B" w14:textId="39FBF868" w:rsidR="00B04D1E" w:rsidRPr="0013285C" w:rsidRDefault="0013285C">
      <w:pPr>
        <w:pStyle w:val="af3"/>
      </w:pPr>
      <w:r w:rsidRPr="0013285C">
        <w:t>Supplementary Table 1. Comparison of urinary control function and sexual function scores between observation group subgroups (</w:t>
      </w:r>
      <m:oMath>
        <m:acc>
          <m:accPr>
            <m:chr m:val="̅"/>
            <m:ctrlPr>
              <w:rPr>
                <w:rFonts w:ascii="Cambria Math" w:hAnsi="Cambria Math"/>
                <w:iCs/>
                <w:vertAlign w:val="subscript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vertAlign w:val="subscript"/>
              </w:rPr>
              <m:t>x</m:t>
            </m:r>
          </m:e>
        </m:acc>
        <m:r>
          <m:rPr>
            <m:sty m:val="b"/>
          </m:rPr>
          <w:rPr>
            <w:rFonts w:ascii="Cambria Math" w:hAnsi="Cambria Math"/>
            <w:vertAlign w:val="subscript"/>
          </w:rPr>
          <m:t>±s</m:t>
        </m:r>
      </m:oMath>
      <w:r w:rsidR="00CB53E9">
        <w:t>, s</w:t>
      </w:r>
      <w:r w:rsidRPr="0013285C">
        <w:t>cores).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997"/>
        <w:gridCol w:w="1437"/>
        <w:gridCol w:w="1766"/>
        <w:gridCol w:w="1358"/>
        <w:gridCol w:w="1606"/>
      </w:tblGrid>
      <w:tr w:rsidR="00B04D1E" w:rsidRPr="0013285C" w14:paraId="247741FC" w14:textId="77777777">
        <w:trPr>
          <w:trHeight w:val="283"/>
          <w:jc w:val="center"/>
        </w:trPr>
        <w:tc>
          <w:tcPr>
            <w:tcW w:w="1386" w:type="pct"/>
            <w:vMerge w:val="restart"/>
            <w:vAlign w:val="center"/>
          </w:tcPr>
          <w:p w14:paraId="5BA5A81E" w14:textId="77777777" w:rsidR="00B04D1E" w:rsidRPr="0013285C" w:rsidRDefault="0013285C">
            <w:pPr>
              <w:ind w:firstLineChars="0" w:firstLine="0"/>
              <w:jc w:val="left"/>
            </w:pPr>
            <w:r w:rsidRPr="0013285C">
              <w:t>Group</w:t>
            </w:r>
          </w:p>
        </w:tc>
        <w:tc>
          <w:tcPr>
            <w:tcW w:w="503" w:type="pct"/>
            <w:vMerge w:val="restart"/>
            <w:vAlign w:val="center"/>
          </w:tcPr>
          <w:p w14:paraId="7D2F7C62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n</w:t>
            </w:r>
          </w:p>
        </w:tc>
        <w:tc>
          <w:tcPr>
            <w:tcW w:w="1616" w:type="pct"/>
            <w:gridSpan w:val="2"/>
            <w:vAlign w:val="center"/>
          </w:tcPr>
          <w:p w14:paraId="21C3B49D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ICI-Q-SF score</w:t>
            </w:r>
          </w:p>
        </w:tc>
        <w:tc>
          <w:tcPr>
            <w:tcW w:w="1496" w:type="pct"/>
            <w:gridSpan w:val="2"/>
            <w:vAlign w:val="center"/>
          </w:tcPr>
          <w:p w14:paraId="6BF4ABFF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IIEF-5 scores</w:t>
            </w:r>
          </w:p>
        </w:tc>
      </w:tr>
      <w:tr w:rsidR="00B04D1E" w:rsidRPr="0013285C" w14:paraId="48A710BB" w14:textId="77777777">
        <w:trPr>
          <w:trHeight w:val="283"/>
          <w:jc w:val="center"/>
        </w:trPr>
        <w:tc>
          <w:tcPr>
            <w:tcW w:w="1386" w:type="pct"/>
            <w:vMerge/>
            <w:vAlign w:val="center"/>
          </w:tcPr>
          <w:p w14:paraId="0E2B2D34" w14:textId="77777777" w:rsidR="00B04D1E" w:rsidRPr="0013285C" w:rsidRDefault="00B04D1E">
            <w:pPr>
              <w:ind w:firstLineChars="0" w:firstLine="0"/>
              <w:jc w:val="left"/>
            </w:pPr>
          </w:p>
        </w:tc>
        <w:tc>
          <w:tcPr>
            <w:tcW w:w="503" w:type="pct"/>
            <w:vMerge/>
            <w:vAlign w:val="center"/>
          </w:tcPr>
          <w:p w14:paraId="2971D066" w14:textId="77777777" w:rsidR="00B04D1E" w:rsidRPr="0013285C" w:rsidRDefault="00B04D1E">
            <w:pPr>
              <w:ind w:firstLineChars="0" w:firstLine="0"/>
              <w:jc w:val="center"/>
            </w:pPr>
          </w:p>
        </w:tc>
        <w:tc>
          <w:tcPr>
            <w:tcW w:w="725" w:type="pct"/>
            <w:vAlign w:val="center"/>
          </w:tcPr>
          <w:p w14:paraId="0E54AEDA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Before nursing</w:t>
            </w:r>
          </w:p>
        </w:tc>
        <w:tc>
          <w:tcPr>
            <w:tcW w:w="891" w:type="pct"/>
            <w:vAlign w:val="center"/>
          </w:tcPr>
          <w:p w14:paraId="61C493D8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One year after nursing</w:t>
            </w:r>
          </w:p>
        </w:tc>
        <w:tc>
          <w:tcPr>
            <w:tcW w:w="685" w:type="pct"/>
            <w:vAlign w:val="center"/>
          </w:tcPr>
          <w:p w14:paraId="4D68BD94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Before nursing</w:t>
            </w:r>
          </w:p>
        </w:tc>
        <w:tc>
          <w:tcPr>
            <w:tcW w:w="811" w:type="pct"/>
            <w:vAlign w:val="center"/>
          </w:tcPr>
          <w:p w14:paraId="463DB720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One year after nursing</w:t>
            </w:r>
          </w:p>
        </w:tc>
      </w:tr>
      <w:tr w:rsidR="00B04D1E" w:rsidRPr="0013285C" w14:paraId="353958D5" w14:textId="77777777">
        <w:trPr>
          <w:trHeight w:val="283"/>
          <w:jc w:val="center"/>
        </w:trPr>
        <w:tc>
          <w:tcPr>
            <w:tcW w:w="1386" w:type="pct"/>
            <w:vAlign w:val="center"/>
          </w:tcPr>
          <w:p w14:paraId="4C39A20F" w14:textId="77777777" w:rsidR="00B04D1E" w:rsidRPr="0013285C" w:rsidRDefault="0013285C">
            <w:pPr>
              <w:ind w:firstLineChars="0" w:firstLine="0"/>
              <w:jc w:val="left"/>
            </w:pPr>
            <w:r w:rsidRPr="0013285C">
              <w:t>Early standardized training subgroup</w:t>
            </w:r>
          </w:p>
        </w:tc>
        <w:tc>
          <w:tcPr>
            <w:tcW w:w="503" w:type="pct"/>
            <w:vAlign w:val="center"/>
          </w:tcPr>
          <w:p w14:paraId="74490B57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45</w:t>
            </w:r>
          </w:p>
        </w:tc>
        <w:tc>
          <w:tcPr>
            <w:tcW w:w="725" w:type="pct"/>
            <w:vAlign w:val="center"/>
          </w:tcPr>
          <w:p w14:paraId="3FEB84E5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15.04 ± 2.50</w:t>
            </w:r>
          </w:p>
        </w:tc>
        <w:tc>
          <w:tcPr>
            <w:tcW w:w="891" w:type="pct"/>
            <w:vAlign w:val="center"/>
          </w:tcPr>
          <w:p w14:paraId="08952036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2.49 ± 1.29</w:t>
            </w:r>
          </w:p>
        </w:tc>
        <w:tc>
          <w:tcPr>
            <w:tcW w:w="685" w:type="pct"/>
            <w:vAlign w:val="center"/>
          </w:tcPr>
          <w:p w14:paraId="3CAFF251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9.40 ± 0.78</w:t>
            </w:r>
          </w:p>
        </w:tc>
        <w:tc>
          <w:tcPr>
            <w:tcW w:w="811" w:type="pct"/>
            <w:vAlign w:val="center"/>
          </w:tcPr>
          <w:p w14:paraId="3F157514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24.49 ± 1.80</w:t>
            </w:r>
          </w:p>
        </w:tc>
      </w:tr>
      <w:tr w:rsidR="00B04D1E" w:rsidRPr="0013285C" w14:paraId="1508C36F" w14:textId="77777777">
        <w:trPr>
          <w:trHeight w:val="283"/>
          <w:jc w:val="center"/>
        </w:trPr>
        <w:tc>
          <w:tcPr>
            <w:tcW w:w="1386" w:type="pct"/>
            <w:vAlign w:val="center"/>
          </w:tcPr>
          <w:p w14:paraId="7411B1AD" w14:textId="77777777" w:rsidR="00B04D1E" w:rsidRPr="0013285C" w:rsidRDefault="0013285C">
            <w:pPr>
              <w:ind w:firstLineChars="0" w:firstLine="0"/>
              <w:jc w:val="left"/>
            </w:pPr>
            <w:r w:rsidRPr="0013285C">
              <w:t>Non-standardized training subgroup</w:t>
            </w:r>
          </w:p>
        </w:tc>
        <w:tc>
          <w:tcPr>
            <w:tcW w:w="503" w:type="pct"/>
            <w:vAlign w:val="center"/>
          </w:tcPr>
          <w:p w14:paraId="7EE0C2AD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10</w:t>
            </w:r>
          </w:p>
        </w:tc>
        <w:tc>
          <w:tcPr>
            <w:tcW w:w="725" w:type="pct"/>
            <w:vAlign w:val="center"/>
          </w:tcPr>
          <w:p w14:paraId="0C2FC2BF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15.20 ± 2.20</w:t>
            </w:r>
          </w:p>
        </w:tc>
        <w:tc>
          <w:tcPr>
            <w:tcW w:w="891" w:type="pct"/>
            <w:vAlign w:val="center"/>
          </w:tcPr>
          <w:p w14:paraId="2B753EB6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3.50 ± 1.08</w:t>
            </w:r>
          </w:p>
        </w:tc>
        <w:tc>
          <w:tcPr>
            <w:tcW w:w="685" w:type="pct"/>
            <w:vAlign w:val="center"/>
          </w:tcPr>
          <w:p w14:paraId="5AB17684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9.60 ± 0.52</w:t>
            </w:r>
          </w:p>
        </w:tc>
        <w:tc>
          <w:tcPr>
            <w:tcW w:w="811" w:type="pct"/>
            <w:vAlign w:val="center"/>
          </w:tcPr>
          <w:p w14:paraId="110C042C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20.50 ± 1.08</w:t>
            </w:r>
          </w:p>
        </w:tc>
      </w:tr>
      <w:tr w:rsidR="00B04D1E" w:rsidRPr="0013285C" w14:paraId="71FC1902" w14:textId="77777777">
        <w:trPr>
          <w:trHeight w:val="283"/>
          <w:jc w:val="center"/>
        </w:trPr>
        <w:tc>
          <w:tcPr>
            <w:tcW w:w="1386" w:type="pct"/>
            <w:vAlign w:val="center"/>
          </w:tcPr>
          <w:p w14:paraId="0C3E3CB0" w14:textId="77777777" w:rsidR="00B04D1E" w:rsidRPr="0013285C" w:rsidRDefault="0013285C">
            <w:pPr>
              <w:widowControl/>
              <w:ind w:firstLineChars="0" w:firstLine="0"/>
              <w:jc w:val="left"/>
            </w:pPr>
            <w:r w:rsidRPr="0013285C">
              <w:rPr>
                <w:i/>
                <w:iCs/>
              </w:rPr>
              <w:t>t</w:t>
            </w:r>
          </w:p>
        </w:tc>
        <w:tc>
          <w:tcPr>
            <w:tcW w:w="503" w:type="pct"/>
            <w:vAlign w:val="center"/>
          </w:tcPr>
          <w:p w14:paraId="4AAAEABA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-</w:t>
            </w:r>
          </w:p>
        </w:tc>
        <w:tc>
          <w:tcPr>
            <w:tcW w:w="725" w:type="pct"/>
            <w:vAlign w:val="center"/>
          </w:tcPr>
          <w:p w14:paraId="19FBC3A7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0.181</w:t>
            </w:r>
          </w:p>
        </w:tc>
        <w:tc>
          <w:tcPr>
            <w:tcW w:w="891" w:type="pct"/>
            <w:vAlign w:val="center"/>
          </w:tcPr>
          <w:p w14:paraId="6A8DAE97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2.301</w:t>
            </w:r>
          </w:p>
        </w:tc>
        <w:tc>
          <w:tcPr>
            <w:tcW w:w="685" w:type="pct"/>
            <w:vAlign w:val="center"/>
          </w:tcPr>
          <w:p w14:paraId="586FB749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0.771</w:t>
            </w:r>
          </w:p>
        </w:tc>
        <w:tc>
          <w:tcPr>
            <w:tcW w:w="811" w:type="pct"/>
            <w:vAlign w:val="center"/>
          </w:tcPr>
          <w:p w14:paraId="50D762F4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6.699</w:t>
            </w:r>
          </w:p>
        </w:tc>
      </w:tr>
      <w:tr w:rsidR="00B04D1E" w:rsidRPr="0013285C" w14:paraId="23735795" w14:textId="77777777">
        <w:trPr>
          <w:trHeight w:val="283"/>
          <w:jc w:val="center"/>
        </w:trPr>
        <w:tc>
          <w:tcPr>
            <w:tcW w:w="1386" w:type="pct"/>
            <w:vAlign w:val="center"/>
          </w:tcPr>
          <w:p w14:paraId="6F5850EB" w14:textId="77777777" w:rsidR="00B04D1E" w:rsidRPr="0013285C" w:rsidRDefault="0013285C">
            <w:pPr>
              <w:ind w:firstLineChars="0" w:firstLine="0"/>
              <w:jc w:val="left"/>
              <w:rPr>
                <w:i/>
                <w:iCs/>
              </w:rPr>
            </w:pPr>
            <w:r w:rsidRPr="0013285C">
              <w:rPr>
                <w:i/>
                <w:iCs/>
              </w:rPr>
              <w:t>p</w:t>
            </w:r>
          </w:p>
        </w:tc>
        <w:tc>
          <w:tcPr>
            <w:tcW w:w="503" w:type="pct"/>
            <w:vAlign w:val="center"/>
          </w:tcPr>
          <w:p w14:paraId="2A25367E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-</w:t>
            </w:r>
          </w:p>
        </w:tc>
        <w:tc>
          <w:tcPr>
            <w:tcW w:w="725" w:type="pct"/>
            <w:vAlign w:val="center"/>
          </w:tcPr>
          <w:p w14:paraId="70A841A2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0.857</w:t>
            </w:r>
          </w:p>
        </w:tc>
        <w:tc>
          <w:tcPr>
            <w:tcW w:w="891" w:type="pct"/>
            <w:vAlign w:val="center"/>
          </w:tcPr>
          <w:p w14:paraId="01EAD718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0.025</w:t>
            </w:r>
          </w:p>
        </w:tc>
        <w:tc>
          <w:tcPr>
            <w:tcW w:w="685" w:type="pct"/>
            <w:vAlign w:val="center"/>
          </w:tcPr>
          <w:p w14:paraId="294A7548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0.444</w:t>
            </w:r>
          </w:p>
        </w:tc>
        <w:tc>
          <w:tcPr>
            <w:tcW w:w="811" w:type="pct"/>
            <w:vAlign w:val="center"/>
          </w:tcPr>
          <w:p w14:paraId="28822287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&lt;0.001</w:t>
            </w:r>
          </w:p>
        </w:tc>
      </w:tr>
    </w:tbl>
    <w:p w14:paraId="4029E6F2" w14:textId="77777777" w:rsidR="00B04D1E" w:rsidRPr="0013285C" w:rsidRDefault="0013285C">
      <w:pPr>
        <w:pStyle w:val="af4"/>
        <w:rPr>
          <w:rFonts w:eastAsiaTheme="minorEastAsia"/>
        </w:rPr>
      </w:pPr>
      <w:r w:rsidRPr="0013285C">
        <w:t>ICI-Q-SF: Incontinence Questionnaire-Short Form; IIEF-5: International Index of Erectile Function-5</w:t>
      </w:r>
      <w:r w:rsidRPr="0013285C">
        <w:rPr>
          <w:rFonts w:eastAsiaTheme="minorEastAsia"/>
        </w:rPr>
        <w:t>.</w:t>
      </w:r>
    </w:p>
    <w:p w14:paraId="41191C89" w14:textId="77777777" w:rsidR="00B04D1E" w:rsidRPr="0013285C" w:rsidRDefault="00B04D1E">
      <w:pPr>
        <w:pStyle w:val="af4"/>
        <w:rPr>
          <w:rFonts w:eastAsiaTheme="minorEastAsia"/>
        </w:rPr>
      </w:pPr>
    </w:p>
    <w:p w14:paraId="6101573E" w14:textId="77777777" w:rsidR="00B04D1E" w:rsidRPr="0013285C" w:rsidRDefault="00B04D1E">
      <w:pPr>
        <w:pStyle w:val="af4"/>
        <w:rPr>
          <w:rFonts w:eastAsiaTheme="minorEastAsia"/>
        </w:rPr>
      </w:pPr>
    </w:p>
    <w:p w14:paraId="1166D253" w14:textId="39D579FC" w:rsidR="00B04D1E" w:rsidRPr="0013285C" w:rsidRDefault="0013285C">
      <w:pPr>
        <w:pStyle w:val="af3"/>
      </w:pPr>
      <w:r w:rsidRPr="0013285C">
        <w:t>Supplementary Table 2. Comparative analysis of pain levels in subgroups of observation groups (</w:t>
      </w:r>
      <m:oMath>
        <m:acc>
          <m:accPr>
            <m:chr m:val="̅"/>
            <m:ctrlPr>
              <w:rPr>
                <w:rFonts w:ascii="Cambria Math" w:hAnsi="Cambria Math"/>
                <w:iCs/>
                <w:vertAlign w:val="subscript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vertAlign w:val="subscript"/>
              </w:rPr>
              <m:t>x</m:t>
            </m:r>
          </m:e>
        </m:acc>
        <m:r>
          <m:rPr>
            <m:sty m:val="b"/>
          </m:rPr>
          <w:rPr>
            <w:rFonts w:ascii="Cambria Math" w:hAnsi="Cambria Math"/>
            <w:vertAlign w:val="subscript"/>
          </w:rPr>
          <m:t>±s</m:t>
        </m:r>
      </m:oMath>
      <w:r w:rsidR="00CB53E9">
        <w:t>, s</w:t>
      </w:r>
      <w:r w:rsidRPr="0013285C">
        <w:t>cores).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567"/>
        <w:gridCol w:w="1532"/>
        <w:gridCol w:w="2008"/>
        <w:gridCol w:w="1982"/>
        <w:gridCol w:w="1982"/>
      </w:tblGrid>
      <w:tr w:rsidR="00B04D1E" w:rsidRPr="0013285C" w14:paraId="39CE9161" w14:textId="77777777">
        <w:trPr>
          <w:trHeight w:val="283"/>
          <w:jc w:val="center"/>
        </w:trPr>
        <w:tc>
          <w:tcPr>
            <w:tcW w:w="928" w:type="pct"/>
            <w:vAlign w:val="center"/>
          </w:tcPr>
          <w:p w14:paraId="309F86F5" w14:textId="77777777" w:rsidR="00B04D1E" w:rsidRPr="0013285C" w:rsidRDefault="0013285C">
            <w:pPr>
              <w:ind w:firstLineChars="0" w:firstLine="0"/>
              <w:jc w:val="left"/>
            </w:pPr>
            <w:r w:rsidRPr="0013285C">
              <w:t>Group</w:t>
            </w:r>
          </w:p>
        </w:tc>
        <w:tc>
          <w:tcPr>
            <w:tcW w:w="286" w:type="pct"/>
            <w:vAlign w:val="center"/>
          </w:tcPr>
          <w:p w14:paraId="73091F72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n</w:t>
            </w:r>
          </w:p>
        </w:tc>
        <w:tc>
          <w:tcPr>
            <w:tcW w:w="773" w:type="pct"/>
            <w:vAlign w:val="center"/>
          </w:tcPr>
          <w:p w14:paraId="40084C54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Before surgery</w:t>
            </w:r>
          </w:p>
        </w:tc>
        <w:tc>
          <w:tcPr>
            <w:tcW w:w="1013" w:type="pct"/>
            <w:vAlign w:val="center"/>
          </w:tcPr>
          <w:p w14:paraId="19650C5B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3 days post-surgery</w:t>
            </w:r>
          </w:p>
        </w:tc>
        <w:tc>
          <w:tcPr>
            <w:tcW w:w="1000" w:type="pct"/>
            <w:vAlign w:val="center"/>
          </w:tcPr>
          <w:p w14:paraId="5497D0BB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7 days post-surgery</w:t>
            </w:r>
          </w:p>
        </w:tc>
        <w:tc>
          <w:tcPr>
            <w:tcW w:w="1000" w:type="pct"/>
            <w:vAlign w:val="center"/>
          </w:tcPr>
          <w:p w14:paraId="5F2F6F52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14 days post-surgery</w:t>
            </w:r>
          </w:p>
        </w:tc>
      </w:tr>
      <w:tr w:rsidR="00B04D1E" w:rsidRPr="0013285C" w14:paraId="74873068" w14:textId="77777777">
        <w:trPr>
          <w:trHeight w:val="283"/>
          <w:jc w:val="center"/>
        </w:trPr>
        <w:tc>
          <w:tcPr>
            <w:tcW w:w="928" w:type="pct"/>
            <w:vAlign w:val="center"/>
          </w:tcPr>
          <w:p w14:paraId="44AC01FE" w14:textId="77777777" w:rsidR="00B04D1E" w:rsidRPr="0013285C" w:rsidRDefault="0013285C">
            <w:pPr>
              <w:ind w:firstLineChars="0" w:firstLine="0"/>
              <w:jc w:val="left"/>
              <w:rPr>
                <w:b/>
                <w:bCs/>
              </w:rPr>
            </w:pPr>
            <w:r w:rsidRPr="0013285C">
              <w:t>Multimodal regimen group</w:t>
            </w:r>
          </w:p>
        </w:tc>
        <w:tc>
          <w:tcPr>
            <w:tcW w:w="286" w:type="pct"/>
            <w:vAlign w:val="center"/>
          </w:tcPr>
          <w:p w14:paraId="30022D22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50</w:t>
            </w:r>
          </w:p>
        </w:tc>
        <w:tc>
          <w:tcPr>
            <w:tcW w:w="773" w:type="pct"/>
            <w:vAlign w:val="center"/>
          </w:tcPr>
          <w:p w14:paraId="79A751A7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7.10 ± 1.31</w:t>
            </w:r>
          </w:p>
        </w:tc>
        <w:tc>
          <w:tcPr>
            <w:tcW w:w="1013" w:type="pct"/>
            <w:vAlign w:val="center"/>
          </w:tcPr>
          <w:p w14:paraId="14D7BD50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4.60 ± 1.07</w:t>
            </w:r>
          </w:p>
        </w:tc>
        <w:tc>
          <w:tcPr>
            <w:tcW w:w="1000" w:type="pct"/>
            <w:vAlign w:val="center"/>
          </w:tcPr>
          <w:p w14:paraId="4719D2CB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2.80 ± 0.78</w:t>
            </w:r>
          </w:p>
        </w:tc>
        <w:tc>
          <w:tcPr>
            <w:tcW w:w="1000" w:type="pct"/>
            <w:vAlign w:val="center"/>
          </w:tcPr>
          <w:p w14:paraId="75E5309F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0.80 ± 0.40</w:t>
            </w:r>
          </w:p>
        </w:tc>
      </w:tr>
      <w:tr w:rsidR="00B04D1E" w:rsidRPr="0013285C" w14:paraId="62DBF4AA" w14:textId="77777777">
        <w:trPr>
          <w:trHeight w:val="283"/>
          <w:jc w:val="center"/>
        </w:trPr>
        <w:tc>
          <w:tcPr>
            <w:tcW w:w="928" w:type="pct"/>
            <w:vAlign w:val="center"/>
          </w:tcPr>
          <w:p w14:paraId="0158EE4F" w14:textId="77777777" w:rsidR="00B04D1E" w:rsidRPr="0013285C" w:rsidRDefault="0013285C">
            <w:pPr>
              <w:ind w:firstLineChars="0" w:firstLine="0"/>
              <w:jc w:val="left"/>
            </w:pPr>
            <w:r w:rsidRPr="0013285C">
              <w:t>Conventional analgesia group</w:t>
            </w:r>
          </w:p>
        </w:tc>
        <w:tc>
          <w:tcPr>
            <w:tcW w:w="286" w:type="pct"/>
            <w:vAlign w:val="center"/>
          </w:tcPr>
          <w:p w14:paraId="62417627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5</w:t>
            </w:r>
          </w:p>
        </w:tc>
        <w:tc>
          <w:tcPr>
            <w:tcW w:w="773" w:type="pct"/>
            <w:vAlign w:val="center"/>
          </w:tcPr>
          <w:p w14:paraId="3F64D93F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7.40 ± 1.14</w:t>
            </w:r>
          </w:p>
        </w:tc>
        <w:tc>
          <w:tcPr>
            <w:tcW w:w="1013" w:type="pct"/>
            <w:vAlign w:val="center"/>
          </w:tcPr>
          <w:p w14:paraId="61B25EF9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5.60 ± 0.55</w:t>
            </w:r>
          </w:p>
        </w:tc>
        <w:tc>
          <w:tcPr>
            <w:tcW w:w="1000" w:type="pct"/>
            <w:vAlign w:val="center"/>
          </w:tcPr>
          <w:p w14:paraId="7A322966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3.60 ± 0.89</w:t>
            </w:r>
          </w:p>
        </w:tc>
        <w:tc>
          <w:tcPr>
            <w:tcW w:w="1000" w:type="pct"/>
            <w:vAlign w:val="center"/>
          </w:tcPr>
          <w:p w14:paraId="394D3AF7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1.40 ± 0.55</w:t>
            </w:r>
          </w:p>
        </w:tc>
      </w:tr>
      <w:tr w:rsidR="00B04D1E" w:rsidRPr="0013285C" w14:paraId="7012DCA7" w14:textId="77777777">
        <w:trPr>
          <w:trHeight w:val="283"/>
          <w:jc w:val="center"/>
        </w:trPr>
        <w:tc>
          <w:tcPr>
            <w:tcW w:w="928" w:type="pct"/>
            <w:vAlign w:val="center"/>
          </w:tcPr>
          <w:p w14:paraId="2B45FCEB" w14:textId="77777777" w:rsidR="00B04D1E" w:rsidRPr="0013285C" w:rsidRDefault="0013285C">
            <w:pPr>
              <w:widowControl/>
              <w:ind w:firstLineChars="0" w:firstLine="0"/>
              <w:jc w:val="left"/>
            </w:pPr>
            <w:r w:rsidRPr="0013285C">
              <w:rPr>
                <w:i/>
                <w:iCs/>
              </w:rPr>
              <w:t>t</w:t>
            </w:r>
          </w:p>
        </w:tc>
        <w:tc>
          <w:tcPr>
            <w:tcW w:w="286" w:type="pct"/>
            <w:vAlign w:val="center"/>
          </w:tcPr>
          <w:p w14:paraId="37049113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-</w:t>
            </w:r>
          </w:p>
        </w:tc>
        <w:tc>
          <w:tcPr>
            <w:tcW w:w="773" w:type="pct"/>
            <w:vAlign w:val="center"/>
          </w:tcPr>
          <w:p w14:paraId="453E473D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0.492</w:t>
            </w:r>
          </w:p>
        </w:tc>
        <w:tc>
          <w:tcPr>
            <w:tcW w:w="1013" w:type="pct"/>
            <w:vAlign w:val="center"/>
          </w:tcPr>
          <w:p w14:paraId="013FD7FD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2.052</w:t>
            </w:r>
          </w:p>
        </w:tc>
        <w:tc>
          <w:tcPr>
            <w:tcW w:w="1000" w:type="pct"/>
            <w:vAlign w:val="center"/>
          </w:tcPr>
          <w:p w14:paraId="094DBCCF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2.155</w:t>
            </w:r>
          </w:p>
        </w:tc>
        <w:tc>
          <w:tcPr>
            <w:tcW w:w="1000" w:type="pct"/>
            <w:vAlign w:val="center"/>
          </w:tcPr>
          <w:p w14:paraId="06511803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3.070</w:t>
            </w:r>
          </w:p>
        </w:tc>
      </w:tr>
      <w:tr w:rsidR="00B04D1E" w:rsidRPr="0013285C" w14:paraId="007B4304" w14:textId="77777777">
        <w:trPr>
          <w:trHeight w:val="283"/>
          <w:jc w:val="center"/>
        </w:trPr>
        <w:tc>
          <w:tcPr>
            <w:tcW w:w="928" w:type="pct"/>
            <w:vAlign w:val="center"/>
          </w:tcPr>
          <w:p w14:paraId="1EA7E5A6" w14:textId="77777777" w:rsidR="00B04D1E" w:rsidRPr="0013285C" w:rsidRDefault="0013285C">
            <w:pPr>
              <w:ind w:firstLineChars="0" w:firstLine="0"/>
              <w:jc w:val="left"/>
              <w:rPr>
                <w:i/>
                <w:iCs/>
              </w:rPr>
            </w:pPr>
            <w:r w:rsidRPr="0013285C">
              <w:rPr>
                <w:i/>
                <w:iCs/>
              </w:rPr>
              <w:t>p</w:t>
            </w:r>
          </w:p>
        </w:tc>
        <w:tc>
          <w:tcPr>
            <w:tcW w:w="286" w:type="pct"/>
            <w:vAlign w:val="center"/>
          </w:tcPr>
          <w:p w14:paraId="2A21CDA0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-</w:t>
            </w:r>
          </w:p>
        </w:tc>
        <w:tc>
          <w:tcPr>
            <w:tcW w:w="773" w:type="pct"/>
            <w:vAlign w:val="center"/>
          </w:tcPr>
          <w:p w14:paraId="6DDA2F11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0.625</w:t>
            </w:r>
          </w:p>
        </w:tc>
        <w:tc>
          <w:tcPr>
            <w:tcW w:w="1013" w:type="pct"/>
            <w:vAlign w:val="center"/>
          </w:tcPr>
          <w:p w14:paraId="664C8500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0.045</w:t>
            </w:r>
          </w:p>
        </w:tc>
        <w:tc>
          <w:tcPr>
            <w:tcW w:w="1000" w:type="pct"/>
            <w:vAlign w:val="center"/>
          </w:tcPr>
          <w:p w14:paraId="20974B83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0.036</w:t>
            </w:r>
          </w:p>
        </w:tc>
        <w:tc>
          <w:tcPr>
            <w:tcW w:w="1000" w:type="pct"/>
            <w:vAlign w:val="center"/>
          </w:tcPr>
          <w:p w14:paraId="67389364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0.003</w:t>
            </w:r>
          </w:p>
        </w:tc>
      </w:tr>
    </w:tbl>
    <w:p w14:paraId="73519DFD" w14:textId="77777777" w:rsidR="00B04D1E" w:rsidRPr="0013285C" w:rsidRDefault="00B04D1E" w:rsidP="00CB53E9">
      <w:pPr>
        <w:ind w:firstLine="420"/>
        <w:rPr>
          <w:rFonts w:eastAsiaTheme="minorEastAsia"/>
        </w:rPr>
      </w:pPr>
    </w:p>
    <w:p w14:paraId="44335818" w14:textId="77777777" w:rsidR="00B04D1E" w:rsidRPr="0013285C" w:rsidRDefault="00B04D1E" w:rsidP="00CB53E9">
      <w:pPr>
        <w:ind w:firstLine="420"/>
        <w:rPr>
          <w:rFonts w:eastAsiaTheme="minorEastAsia"/>
        </w:rPr>
      </w:pPr>
    </w:p>
    <w:p w14:paraId="4649961C" w14:textId="4BB8CA04" w:rsidR="00B04D1E" w:rsidRPr="0013285C" w:rsidRDefault="0013285C">
      <w:pPr>
        <w:pStyle w:val="af3"/>
      </w:pPr>
      <w:r w:rsidRPr="0013285C">
        <w:t>Supplementary Table 3. Comparison of QLQ-C30 scores between subgroups of the observation groups (</w:t>
      </w:r>
      <m:oMath>
        <m:acc>
          <m:accPr>
            <m:chr m:val="̅"/>
            <m:ctrlPr>
              <w:rPr>
                <w:rFonts w:ascii="Cambria Math" w:hAnsi="Cambria Math"/>
                <w:iCs/>
                <w:vertAlign w:val="subscript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vertAlign w:val="subscript"/>
              </w:rPr>
              <m:t>x</m:t>
            </m:r>
          </m:e>
        </m:acc>
        <m:r>
          <m:rPr>
            <m:sty m:val="b"/>
          </m:rPr>
          <w:rPr>
            <w:rFonts w:ascii="Cambria Math" w:hAnsi="Cambria Math"/>
            <w:vertAlign w:val="subscript"/>
          </w:rPr>
          <m:t>±s</m:t>
        </m:r>
      </m:oMath>
      <w:r w:rsidR="00CB53E9">
        <w:t>, s</w:t>
      </w:r>
      <w:r w:rsidRPr="0013285C">
        <w:t>cores).</w:t>
      </w:r>
    </w:p>
    <w:tbl>
      <w:tblPr>
        <w:tblW w:w="54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556"/>
        <w:gridCol w:w="1323"/>
        <w:gridCol w:w="1323"/>
        <w:gridCol w:w="1323"/>
        <w:gridCol w:w="1323"/>
        <w:gridCol w:w="1323"/>
        <w:gridCol w:w="1323"/>
      </w:tblGrid>
      <w:tr w:rsidR="00B04D1E" w:rsidRPr="0013285C" w14:paraId="026FFAE6" w14:textId="77777777" w:rsidTr="00CB53E9">
        <w:trPr>
          <w:trHeight w:val="270"/>
          <w:jc w:val="center"/>
        </w:trPr>
        <w:tc>
          <w:tcPr>
            <w:tcW w:w="1039" w:type="pct"/>
            <w:vMerge w:val="restart"/>
            <w:vAlign w:val="center"/>
          </w:tcPr>
          <w:p w14:paraId="101080C3" w14:textId="77777777" w:rsidR="00B04D1E" w:rsidRPr="0013285C" w:rsidRDefault="0013285C">
            <w:pPr>
              <w:ind w:firstLineChars="0" w:firstLine="0"/>
              <w:jc w:val="left"/>
            </w:pPr>
            <w:r w:rsidRPr="0013285C">
              <w:t>Group</w:t>
            </w:r>
          </w:p>
        </w:tc>
        <w:tc>
          <w:tcPr>
            <w:tcW w:w="259" w:type="pct"/>
            <w:vMerge w:val="restart"/>
            <w:vAlign w:val="center"/>
          </w:tcPr>
          <w:p w14:paraId="642866B2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n</w:t>
            </w:r>
          </w:p>
        </w:tc>
        <w:tc>
          <w:tcPr>
            <w:tcW w:w="1234" w:type="pct"/>
            <w:gridSpan w:val="2"/>
            <w:vAlign w:val="center"/>
          </w:tcPr>
          <w:p w14:paraId="7CF89ACB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Functional dimension</w:t>
            </w:r>
          </w:p>
        </w:tc>
        <w:tc>
          <w:tcPr>
            <w:tcW w:w="1234" w:type="pct"/>
            <w:gridSpan w:val="2"/>
            <w:vAlign w:val="center"/>
          </w:tcPr>
          <w:p w14:paraId="68575FAB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Symptom dimension</w:t>
            </w:r>
          </w:p>
        </w:tc>
        <w:tc>
          <w:tcPr>
            <w:tcW w:w="1234" w:type="pct"/>
            <w:gridSpan w:val="2"/>
            <w:vAlign w:val="center"/>
          </w:tcPr>
          <w:p w14:paraId="7AFE221F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Overall health status</w:t>
            </w:r>
          </w:p>
        </w:tc>
      </w:tr>
      <w:tr w:rsidR="00B04D1E" w:rsidRPr="0013285C" w14:paraId="36AEDC47" w14:textId="77777777" w:rsidTr="00CB53E9">
        <w:trPr>
          <w:trHeight w:val="270"/>
          <w:jc w:val="center"/>
        </w:trPr>
        <w:tc>
          <w:tcPr>
            <w:tcW w:w="1039" w:type="pct"/>
            <w:vMerge/>
            <w:vAlign w:val="center"/>
          </w:tcPr>
          <w:p w14:paraId="1CF8F1F2" w14:textId="77777777" w:rsidR="00B04D1E" w:rsidRPr="0013285C" w:rsidRDefault="00B04D1E">
            <w:pPr>
              <w:ind w:firstLineChars="0" w:firstLine="0"/>
              <w:jc w:val="left"/>
            </w:pPr>
          </w:p>
        </w:tc>
        <w:tc>
          <w:tcPr>
            <w:tcW w:w="259" w:type="pct"/>
            <w:vMerge/>
            <w:vAlign w:val="center"/>
          </w:tcPr>
          <w:p w14:paraId="156680B9" w14:textId="77777777" w:rsidR="00B04D1E" w:rsidRPr="0013285C" w:rsidRDefault="00B04D1E">
            <w:pPr>
              <w:ind w:firstLineChars="0" w:firstLine="0"/>
              <w:jc w:val="center"/>
            </w:pPr>
          </w:p>
        </w:tc>
        <w:tc>
          <w:tcPr>
            <w:tcW w:w="617" w:type="pct"/>
            <w:vAlign w:val="center"/>
          </w:tcPr>
          <w:p w14:paraId="1864FF58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Before nursing</w:t>
            </w:r>
          </w:p>
        </w:tc>
        <w:tc>
          <w:tcPr>
            <w:tcW w:w="617" w:type="pct"/>
            <w:vAlign w:val="center"/>
          </w:tcPr>
          <w:p w14:paraId="75A4870A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One year after nursing</w:t>
            </w:r>
          </w:p>
        </w:tc>
        <w:tc>
          <w:tcPr>
            <w:tcW w:w="617" w:type="pct"/>
            <w:vAlign w:val="center"/>
          </w:tcPr>
          <w:p w14:paraId="43DD940D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Before nursing</w:t>
            </w:r>
          </w:p>
        </w:tc>
        <w:tc>
          <w:tcPr>
            <w:tcW w:w="617" w:type="pct"/>
            <w:vAlign w:val="center"/>
          </w:tcPr>
          <w:p w14:paraId="268595A9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One year after nursing</w:t>
            </w:r>
          </w:p>
        </w:tc>
        <w:tc>
          <w:tcPr>
            <w:tcW w:w="617" w:type="pct"/>
            <w:vAlign w:val="center"/>
          </w:tcPr>
          <w:p w14:paraId="6DCB2D30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Before nursing</w:t>
            </w:r>
          </w:p>
        </w:tc>
        <w:tc>
          <w:tcPr>
            <w:tcW w:w="617" w:type="pct"/>
            <w:vAlign w:val="center"/>
          </w:tcPr>
          <w:p w14:paraId="26917E81" w14:textId="77777777" w:rsidR="00B04D1E" w:rsidRPr="0013285C" w:rsidRDefault="0013285C">
            <w:pPr>
              <w:autoSpaceDE w:val="0"/>
              <w:ind w:firstLineChars="0" w:firstLine="0"/>
              <w:jc w:val="center"/>
            </w:pPr>
            <w:r w:rsidRPr="0013285C">
              <w:t>One year after nursing</w:t>
            </w:r>
          </w:p>
        </w:tc>
      </w:tr>
      <w:tr w:rsidR="00B04D1E" w:rsidRPr="0013285C" w14:paraId="48334B11" w14:textId="77777777" w:rsidTr="00CB53E9">
        <w:trPr>
          <w:trHeight w:val="270"/>
          <w:jc w:val="center"/>
        </w:trPr>
        <w:tc>
          <w:tcPr>
            <w:tcW w:w="1039" w:type="pct"/>
            <w:vAlign w:val="center"/>
          </w:tcPr>
          <w:p w14:paraId="6D455938" w14:textId="77777777" w:rsidR="00B04D1E" w:rsidRPr="0013285C" w:rsidRDefault="0013285C">
            <w:pPr>
              <w:ind w:firstLineChars="0" w:firstLine="0"/>
              <w:jc w:val="left"/>
            </w:pPr>
            <w:r w:rsidRPr="0013285C">
              <w:t>Preoperative preparation compliance subgroup</w:t>
            </w:r>
          </w:p>
        </w:tc>
        <w:tc>
          <w:tcPr>
            <w:tcW w:w="259" w:type="pct"/>
            <w:vAlign w:val="center"/>
          </w:tcPr>
          <w:p w14:paraId="094F1F3C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48</w:t>
            </w:r>
          </w:p>
        </w:tc>
        <w:tc>
          <w:tcPr>
            <w:tcW w:w="617" w:type="pct"/>
            <w:vAlign w:val="center"/>
          </w:tcPr>
          <w:p w14:paraId="72786E9B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64.50 ± 7.54</w:t>
            </w:r>
          </w:p>
        </w:tc>
        <w:tc>
          <w:tcPr>
            <w:tcW w:w="617" w:type="pct"/>
            <w:vAlign w:val="center"/>
          </w:tcPr>
          <w:p w14:paraId="36AE31C1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93.04 ± 4.23</w:t>
            </w:r>
          </w:p>
        </w:tc>
        <w:tc>
          <w:tcPr>
            <w:tcW w:w="617" w:type="pct"/>
            <w:vAlign w:val="center"/>
          </w:tcPr>
          <w:p w14:paraId="5F330482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86.10 ± 6.51</w:t>
            </w:r>
          </w:p>
        </w:tc>
        <w:tc>
          <w:tcPr>
            <w:tcW w:w="617" w:type="pct"/>
            <w:vAlign w:val="center"/>
          </w:tcPr>
          <w:p w14:paraId="7F522580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30.50 ± 6.20</w:t>
            </w:r>
          </w:p>
        </w:tc>
        <w:tc>
          <w:tcPr>
            <w:tcW w:w="617" w:type="pct"/>
            <w:vAlign w:val="center"/>
          </w:tcPr>
          <w:p w14:paraId="59F05A59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62.29 ± 7.80</w:t>
            </w:r>
          </w:p>
        </w:tc>
        <w:tc>
          <w:tcPr>
            <w:tcW w:w="617" w:type="pct"/>
            <w:vAlign w:val="center"/>
          </w:tcPr>
          <w:p w14:paraId="4C648AF2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96.35 ± 2.03</w:t>
            </w:r>
          </w:p>
        </w:tc>
      </w:tr>
      <w:tr w:rsidR="00B04D1E" w:rsidRPr="0013285C" w14:paraId="35AACC4E" w14:textId="77777777" w:rsidTr="00CB53E9">
        <w:trPr>
          <w:trHeight w:val="270"/>
          <w:jc w:val="center"/>
        </w:trPr>
        <w:tc>
          <w:tcPr>
            <w:tcW w:w="1039" w:type="pct"/>
            <w:vAlign w:val="center"/>
          </w:tcPr>
          <w:p w14:paraId="72D3AD41" w14:textId="77777777" w:rsidR="00B04D1E" w:rsidRPr="0013285C" w:rsidRDefault="0013285C">
            <w:pPr>
              <w:ind w:firstLineChars="0" w:firstLine="0"/>
              <w:jc w:val="left"/>
            </w:pPr>
            <w:r w:rsidRPr="0013285C">
              <w:t>Incomplete compliance subgroup</w:t>
            </w:r>
          </w:p>
        </w:tc>
        <w:tc>
          <w:tcPr>
            <w:tcW w:w="259" w:type="pct"/>
            <w:vAlign w:val="center"/>
          </w:tcPr>
          <w:p w14:paraId="531290FD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7</w:t>
            </w:r>
          </w:p>
        </w:tc>
        <w:tc>
          <w:tcPr>
            <w:tcW w:w="617" w:type="pct"/>
            <w:vAlign w:val="center"/>
          </w:tcPr>
          <w:p w14:paraId="621F2D8D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66.29 ± 7.37</w:t>
            </w:r>
          </w:p>
        </w:tc>
        <w:tc>
          <w:tcPr>
            <w:tcW w:w="617" w:type="pct"/>
            <w:vAlign w:val="center"/>
          </w:tcPr>
          <w:p w14:paraId="268FF6A1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86.29 ± 5.50</w:t>
            </w:r>
          </w:p>
        </w:tc>
        <w:tc>
          <w:tcPr>
            <w:tcW w:w="617" w:type="pct"/>
            <w:vAlign w:val="center"/>
          </w:tcPr>
          <w:p w14:paraId="0AAFA9B4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84.43 ± 5.19</w:t>
            </w:r>
          </w:p>
        </w:tc>
        <w:tc>
          <w:tcPr>
            <w:tcW w:w="617" w:type="pct"/>
            <w:vAlign w:val="center"/>
          </w:tcPr>
          <w:p w14:paraId="0987E407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39.57 ± 5.71</w:t>
            </w:r>
          </w:p>
        </w:tc>
        <w:tc>
          <w:tcPr>
            <w:tcW w:w="617" w:type="pct"/>
            <w:vAlign w:val="center"/>
          </w:tcPr>
          <w:p w14:paraId="6486D601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62.00 ± 6.86</w:t>
            </w:r>
          </w:p>
        </w:tc>
        <w:tc>
          <w:tcPr>
            <w:tcW w:w="617" w:type="pct"/>
            <w:vAlign w:val="center"/>
          </w:tcPr>
          <w:p w14:paraId="0310C6E4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86.57 ± 5.29</w:t>
            </w:r>
          </w:p>
        </w:tc>
      </w:tr>
      <w:tr w:rsidR="00B04D1E" w:rsidRPr="0013285C" w14:paraId="2F7BA61A" w14:textId="77777777" w:rsidTr="00CB53E9">
        <w:trPr>
          <w:trHeight w:val="270"/>
          <w:jc w:val="center"/>
        </w:trPr>
        <w:tc>
          <w:tcPr>
            <w:tcW w:w="1039" w:type="pct"/>
            <w:vAlign w:val="center"/>
          </w:tcPr>
          <w:p w14:paraId="746C9E02" w14:textId="77777777" w:rsidR="00B04D1E" w:rsidRPr="0013285C" w:rsidRDefault="0013285C">
            <w:pPr>
              <w:widowControl/>
              <w:ind w:firstLineChars="0" w:firstLine="0"/>
              <w:jc w:val="left"/>
              <w:rPr>
                <w:i/>
                <w:iCs/>
              </w:rPr>
            </w:pPr>
            <w:r w:rsidRPr="0013285C">
              <w:rPr>
                <w:i/>
                <w:iCs/>
              </w:rPr>
              <w:t>t</w:t>
            </w:r>
          </w:p>
        </w:tc>
        <w:tc>
          <w:tcPr>
            <w:tcW w:w="259" w:type="pct"/>
            <w:vAlign w:val="center"/>
          </w:tcPr>
          <w:p w14:paraId="05F6A31F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-</w:t>
            </w:r>
          </w:p>
        </w:tc>
        <w:tc>
          <w:tcPr>
            <w:tcW w:w="617" w:type="pct"/>
            <w:vAlign w:val="center"/>
          </w:tcPr>
          <w:p w14:paraId="61DCA16B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0.587</w:t>
            </w:r>
          </w:p>
        </w:tc>
        <w:tc>
          <w:tcPr>
            <w:tcW w:w="617" w:type="pct"/>
            <w:vAlign w:val="center"/>
          </w:tcPr>
          <w:p w14:paraId="682978CF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3.800</w:t>
            </w:r>
          </w:p>
        </w:tc>
        <w:tc>
          <w:tcPr>
            <w:tcW w:w="617" w:type="pct"/>
            <w:vAlign w:val="center"/>
          </w:tcPr>
          <w:p w14:paraId="1A0C8F78" w14:textId="77777777" w:rsidR="00B04D1E" w:rsidRPr="0013285C" w:rsidRDefault="0013285C">
            <w:pPr>
              <w:tabs>
                <w:tab w:val="left" w:pos="428"/>
              </w:tabs>
              <w:ind w:firstLineChars="0" w:firstLine="0"/>
              <w:jc w:val="center"/>
            </w:pPr>
            <w:r w:rsidRPr="0013285C">
              <w:t>0.650</w:t>
            </w:r>
          </w:p>
        </w:tc>
        <w:tc>
          <w:tcPr>
            <w:tcW w:w="617" w:type="pct"/>
            <w:vAlign w:val="center"/>
          </w:tcPr>
          <w:p w14:paraId="6EE8A224" w14:textId="77777777" w:rsidR="00B04D1E" w:rsidRPr="0013285C" w:rsidRDefault="0013285C">
            <w:pPr>
              <w:tabs>
                <w:tab w:val="left" w:pos="428"/>
              </w:tabs>
              <w:ind w:firstLineChars="0" w:firstLine="0"/>
              <w:jc w:val="center"/>
            </w:pPr>
            <w:r w:rsidRPr="0013285C">
              <w:t>3.647</w:t>
            </w:r>
          </w:p>
        </w:tc>
        <w:tc>
          <w:tcPr>
            <w:tcW w:w="617" w:type="pct"/>
            <w:vAlign w:val="center"/>
          </w:tcPr>
          <w:p w14:paraId="6DA13E14" w14:textId="77777777" w:rsidR="00B04D1E" w:rsidRPr="0013285C" w:rsidRDefault="0013285C">
            <w:pPr>
              <w:tabs>
                <w:tab w:val="left" w:pos="428"/>
              </w:tabs>
              <w:ind w:firstLineChars="0" w:firstLine="0"/>
              <w:jc w:val="center"/>
            </w:pPr>
            <w:r w:rsidRPr="0013285C">
              <w:t>0.094</w:t>
            </w:r>
          </w:p>
        </w:tc>
        <w:tc>
          <w:tcPr>
            <w:tcW w:w="617" w:type="pct"/>
            <w:vAlign w:val="center"/>
          </w:tcPr>
          <w:p w14:paraId="5DD780F9" w14:textId="77777777" w:rsidR="00B04D1E" w:rsidRPr="0013285C" w:rsidRDefault="0013285C">
            <w:pPr>
              <w:tabs>
                <w:tab w:val="left" w:pos="428"/>
              </w:tabs>
              <w:ind w:firstLineChars="0" w:firstLine="0"/>
              <w:jc w:val="center"/>
            </w:pPr>
            <w:r w:rsidRPr="0013285C">
              <w:t>4.844</w:t>
            </w:r>
          </w:p>
        </w:tc>
      </w:tr>
      <w:tr w:rsidR="00B04D1E" w14:paraId="68CCE129" w14:textId="77777777" w:rsidTr="00CB53E9">
        <w:trPr>
          <w:trHeight w:val="270"/>
          <w:jc w:val="center"/>
        </w:trPr>
        <w:tc>
          <w:tcPr>
            <w:tcW w:w="1039" w:type="pct"/>
            <w:vAlign w:val="center"/>
          </w:tcPr>
          <w:p w14:paraId="359FFE86" w14:textId="77777777" w:rsidR="00B04D1E" w:rsidRPr="0013285C" w:rsidRDefault="0013285C">
            <w:pPr>
              <w:ind w:firstLineChars="0" w:firstLine="0"/>
              <w:jc w:val="left"/>
              <w:rPr>
                <w:i/>
                <w:iCs/>
              </w:rPr>
            </w:pPr>
            <w:r w:rsidRPr="0013285C">
              <w:rPr>
                <w:i/>
                <w:iCs/>
              </w:rPr>
              <w:t>p</w:t>
            </w:r>
          </w:p>
        </w:tc>
        <w:tc>
          <w:tcPr>
            <w:tcW w:w="259" w:type="pct"/>
            <w:vAlign w:val="center"/>
          </w:tcPr>
          <w:p w14:paraId="55F434AB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-</w:t>
            </w:r>
          </w:p>
        </w:tc>
        <w:tc>
          <w:tcPr>
            <w:tcW w:w="617" w:type="pct"/>
            <w:vAlign w:val="center"/>
          </w:tcPr>
          <w:p w14:paraId="149563BC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0.560</w:t>
            </w:r>
          </w:p>
        </w:tc>
        <w:tc>
          <w:tcPr>
            <w:tcW w:w="617" w:type="pct"/>
            <w:vAlign w:val="center"/>
          </w:tcPr>
          <w:p w14:paraId="421FCE15" w14:textId="77777777" w:rsidR="00B04D1E" w:rsidRPr="0013285C" w:rsidRDefault="0013285C">
            <w:pPr>
              <w:ind w:firstLineChars="0" w:firstLine="0"/>
              <w:jc w:val="center"/>
            </w:pPr>
            <w:r w:rsidRPr="0013285C">
              <w:t>&lt;0.001</w:t>
            </w:r>
          </w:p>
        </w:tc>
        <w:tc>
          <w:tcPr>
            <w:tcW w:w="617" w:type="pct"/>
            <w:vAlign w:val="center"/>
          </w:tcPr>
          <w:p w14:paraId="5931CA9A" w14:textId="77777777" w:rsidR="00B04D1E" w:rsidRPr="0013285C" w:rsidRDefault="0013285C">
            <w:pPr>
              <w:tabs>
                <w:tab w:val="left" w:pos="428"/>
              </w:tabs>
              <w:ind w:firstLineChars="0" w:firstLine="0"/>
              <w:jc w:val="center"/>
            </w:pPr>
            <w:r w:rsidRPr="0013285C">
              <w:t>0.519</w:t>
            </w:r>
          </w:p>
        </w:tc>
        <w:tc>
          <w:tcPr>
            <w:tcW w:w="617" w:type="pct"/>
            <w:vAlign w:val="center"/>
          </w:tcPr>
          <w:p w14:paraId="66366104" w14:textId="77777777" w:rsidR="00B04D1E" w:rsidRPr="0013285C" w:rsidRDefault="0013285C">
            <w:pPr>
              <w:tabs>
                <w:tab w:val="left" w:pos="428"/>
              </w:tabs>
              <w:ind w:firstLineChars="0" w:firstLine="0"/>
              <w:jc w:val="center"/>
            </w:pPr>
            <w:r w:rsidRPr="0013285C">
              <w:t>0.001</w:t>
            </w:r>
          </w:p>
        </w:tc>
        <w:tc>
          <w:tcPr>
            <w:tcW w:w="617" w:type="pct"/>
            <w:vAlign w:val="center"/>
          </w:tcPr>
          <w:p w14:paraId="4F34C5F2" w14:textId="77777777" w:rsidR="00B04D1E" w:rsidRPr="0013285C" w:rsidRDefault="0013285C">
            <w:pPr>
              <w:tabs>
                <w:tab w:val="left" w:pos="428"/>
              </w:tabs>
              <w:ind w:firstLineChars="0" w:firstLine="0"/>
              <w:jc w:val="center"/>
            </w:pPr>
            <w:r w:rsidRPr="0013285C">
              <w:t>0.926</w:t>
            </w:r>
          </w:p>
        </w:tc>
        <w:tc>
          <w:tcPr>
            <w:tcW w:w="617" w:type="pct"/>
            <w:vAlign w:val="center"/>
          </w:tcPr>
          <w:p w14:paraId="369AB98B" w14:textId="77777777" w:rsidR="00B04D1E" w:rsidRDefault="0013285C">
            <w:pPr>
              <w:tabs>
                <w:tab w:val="left" w:pos="428"/>
              </w:tabs>
              <w:ind w:firstLineChars="0" w:firstLine="0"/>
              <w:jc w:val="center"/>
            </w:pPr>
            <w:r w:rsidRPr="0013285C">
              <w:t>0.003</w:t>
            </w:r>
          </w:p>
        </w:tc>
      </w:tr>
    </w:tbl>
    <w:p w14:paraId="194D98F3" w14:textId="2B80BA76" w:rsidR="00B04D1E" w:rsidRDefault="00B04D1E">
      <w:pPr>
        <w:pStyle w:val="af4"/>
        <w:rPr>
          <w:rFonts w:eastAsiaTheme="minorEastAsia"/>
        </w:rPr>
      </w:pPr>
    </w:p>
    <w:p w14:paraId="047E1BFC" w14:textId="77777777" w:rsidR="00CB53E9" w:rsidRDefault="00CB53E9">
      <w:pPr>
        <w:pStyle w:val="af4"/>
        <w:rPr>
          <w:rFonts w:eastAsiaTheme="minorEastAsia" w:hint="eastAsia"/>
        </w:rPr>
      </w:pPr>
    </w:p>
    <w:sectPr w:rsidR="00CB53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992" w:bottom="992" w:left="992" w:header="283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01A2" w14:textId="77777777" w:rsidR="00B04D1E" w:rsidRDefault="0013285C">
      <w:pPr>
        <w:ind w:firstLine="420"/>
      </w:pPr>
      <w:r>
        <w:separator/>
      </w:r>
    </w:p>
  </w:endnote>
  <w:endnote w:type="continuationSeparator" w:id="0">
    <w:p w14:paraId="21C7765A" w14:textId="77777777" w:rsidR="00B04D1E" w:rsidRDefault="0013285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modern"/>
    <w:notTrueType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16E9" w14:textId="77777777" w:rsidR="00B04D1E" w:rsidRDefault="00B04D1E">
    <w:pPr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1681515"/>
      <w:docPartObj>
        <w:docPartGallery w:val="AutoText"/>
      </w:docPartObj>
    </w:sdtPr>
    <w:sdtEndPr/>
    <w:sdtContent>
      <w:p w14:paraId="2E550B38" w14:textId="77777777" w:rsidR="00B04D1E" w:rsidRDefault="0013285C">
        <w:pPr>
          <w:pStyle w:val="a9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  <w:docPartObj>
        <w:docPartGallery w:val="AutoText"/>
      </w:docPartObj>
    </w:sdtPr>
    <w:sdtEndPr/>
    <w:sdtContent>
      <w:p w14:paraId="2E777D84" w14:textId="77777777" w:rsidR="00B04D1E" w:rsidRDefault="0013285C">
        <w:pPr>
          <w:pStyle w:val="a9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8705" w14:textId="77777777" w:rsidR="00B04D1E" w:rsidRDefault="0013285C">
      <w:pPr>
        <w:ind w:firstLine="420"/>
      </w:pPr>
      <w:r>
        <w:separator/>
      </w:r>
    </w:p>
  </w:footnote>
  <w:footnote w:type="continuationSeparator" w:id="0">
    <w:p w14:paraId="33E3AE8C" w14:textId="77777777" w:rsidR="00B04D1E" w:rsidRDefault="0013285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8A92" w14:textId="77777777" w:rsidR="00B04D1E" w:rsidRDefault="00B04D1E">
    <w:pPr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1C36" w14:textId="77777777" w:rsidR="00B04D1E" w:rsidRDefault="00B04D1E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89FA" w14:textId="77777777" w:rsidR="00B04D1E" w:rsidRDefault="00B04D1E">
    <w:pPr>
      <w:pStyle w:val="ab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4D661A69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7D8C2817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BC"/>
    <w:rsid w:val="00062320"/>
    <w:rsid w:val="0013285C"/>
    <w:rsid w:val="001D5FB5"/>
    <w:rsid w:val="0029260C"/>
    <w:rsid w:val="002B6EC0"/>
    <w:rsid w:val="002D4FC6"/>
    <w:rsid w:val="003B16BC"/>
    <w:rsid w:val="003D54C0"/>
    <w:rsid w:val="003E60BB"/>
    <w:rsid w:val="00453734"/>
    <w:rsid w:val="004D1C4E"/>
    <w:rsid w:val="0052504E"/>
    <w:rsid w:val="00583885"/>
    <w:rsid w:val="0066661A"/>
    <w:rsid w:val="00711DCD"/>
    <w:rsid w:val="00725951"/>
    <w:rsid w:val="008562B3"/>
    <w:rsid w:val="009544B5"/>
    <w:rsid w:val="00B04D1E"/>
    <w:rsid w:val="00B63361"/>
    <w:rsid w:val="00C63DF0"/>
    <w:rsid w:val="00C647B4"/>
    <w:rsid w:val="00CB53E9"/>
    <w:rsid w:val="00E21D64"/>
    <w:rsid w:val="00E3775A"/>
    <w:rsid w:val="00EB271E"/>
    <w:rsid w:val="00F4420C"/>
    <w:rsid w:val="00F95A50"/>
    <w:rsid w:val="00FA19AF"/>
    <w:rsid w:val="6E5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297D8"/>
  <w15:docId w15:val="{9B40658B-23A7-49A4-9E74-0A23AF9A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uiPriority w:val="1"/>
    <w:qFormat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numPr>
        <w:ilvl w:val="1"/>
        <w:numId w:val="1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numPr>
        <w:ilvl w:val="2"/>
        <w:numId w:val="1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2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2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2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autoRedefine/>
    <w:uiPriority w:val="1"/>
    <w:qFormat/>
    <w:pPr>
      <w:autoSpaceDE w:val="0"/>
      <w:autoSpaceDN w:val="0"/>
      <w:adjustRightInd w:val="0"/>
      <w:ind w:firstLine="420"/>
    </w:pPr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  <w:rPr>
      <w:lang w:eastAsia="en-US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59"/>
    <w:qFormat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line number"/>
    <w:uiPriority w:val="99"/>
    <w:semiHidden/>
    <w:unhideWhenUsed/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link w:val="1"/>
    <w:uiPriority w:val="1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link w:val="2"/>
    <w:uiPriority w:val="9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link w:val="3"/>
    <w:uiPriority w:val="9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Pr>
      <w:rFonts w:ascii="等线 Light" w:eastAsia="等线 Light" w:hAnsi="等线 Light" w:cs="Times New Roman"/>
      <w:szCs w:val="21"/>
    </w:rPr>
  </w:style>
  <w:style w:type="paragraph" w:customStyle="1" w:styleId="af3">
    <w:name w:val="表题"/>
    <w:basedOn w:val="a"/>
    <w:autoRedefine/>
    <w:qFormat/>
    <w:pPr>
      <w:spacing w:beforeLines="100" w:before="312" w:afterLines="100" w:after="312"/>
      <w:ind w:firstLineChars="0" w:firstLine="0"/>
      <w:jc w:val="center"/>
    </w:pPr>
    <w:rPr>
      <w:b/>
    </w:rPr>
  </w:style>
  <w:style w:type="paragraph" w:customStyle="1" w:styleId="af4">
    <w:name w:val="表注"/>
    <w:basedOn w:val="af3"/>
    <w:autoRedefine/>
    <w:qFormat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f5">
    <w:name w:val="参考文献"/>
    <w:basedOn w:val="a"/>
    <w:autoRedefine/>
    <w:qFormat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6">
    <w:name w:val="稿件类型"/>
    <w:basedOn w:val="a"/>
    <w:autoRedefine/>
    <w:qFormat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7">
    <w:name w:val="关键词"/>
    <w:basedOn w:val="a"/>
    <w:autoRedefine/>
    <w:qFormat/>
    <w:pPr>
      <w:ind w:firstLineChars="0" w:firstLine="0"/>
    </w:pPr>
  </w:style>
  <w:style w:type="paragraph" w:customStyle="1" w:styleId="af8">
    <w:name w:val="机构信息"/>
    <w:basedOn w:val="a"/>
    <w:link w:val="af9"/>
    <w:autoRedefine/>
    <w:qFormat/>
    <w:pPr>
      <w:ind w:firstLineChars="0" w:firstLine="0"/>
    </w:pPr>
    <w:rPr>
      <w:i/>
    </w:rPr>
  </w:style>
  <w:style w:type="character" w:customStyle="1" w:styleId="af9">
    <w:name w:val="机构信息 字符"/>
    <w:link w:val="af8"/>
    <w:rPr>
      <w:rFonts w:ascii="Times New Roman" w:eastAsia="Times New Roman" w:hAnsi="Times New Roman" w:cs="Times New Roman"/>
      <w:i/>
      <w:szCs w:val="21"/>
    </w:rPr>
  </w:style>
  <w:style w:type="paragraph" w:customStyle="1" w:styleId="afa">
    <w:name w:val="接收日期"/>
    <w:basedOn w:val="a"/>
    <w:autoRedefine/>
    <w:qFormat/>
    <w:pPr>
      <w:ind w:firstLineChars="0" w:firstLine="0"/>
    </w:pPr>
  </w:style>
  <w:style w:type="paragraph" w:customStyle="1" w:styleId="afb">
    <w:name w:val="通讯作者"/>
    <w:basedOn w:val="a"/>
    <w:autoRedefine/>
    <w:qFormat/>
    <w:pPr>
      <w:ind w:firstLineChars="0" w:firstLine="0"/>
    </w:pPr>
  </w:style>
  <w:style w:type="paragraph" w:customStyle="1" w:styleId="afc">
    <w:name w:val="图注"/>
    <w:basedOn w:val="af4"/>
    <w:autoRedefine/>
    <w:qFormat/>
  </w:style>
  <w:style w:type="paragraph" w:customStyle="1" w:styleId="afd">
    <w:name w:val="文章标题"/>
    <w:basedOn w:val="a"/>
    <w:link w:val="afe"/>
    <w:autoRedefine/>
    <w:qFormat/>
    <w:pPr>
      <w:kinsoku w:val="0"/>
      <w:overflowPunct w:val="0"/>
      <w:autoSpaceDE w:val="0"/>
      <w:autoSpaceDN w:val="0"/>
      <w:adjustRightInd w:val="0"/>
      <w:snapToGrid w:val="0"/>
      <w:spacing w:beforeLines="50" w:before="156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e">
    <w:name w:val="文章标题 字符"/>
    <w:link w:val="afd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f">
    <w:name w:val="文章内容"/>
    <w:basedOn w:val="a"/>
    <w:link w:val="aff0"/>
    <w:autoRedefine/>
    <w:pPr>
      <w:ind w:firstLine="420"/>
    </w:pPr>
    <w:rPr>
      <w:color w:val="000000"/>
    </w:rPr>
  </w:style>
  <w:style w:type="character" w:customStyle="1" w:styleId="aff0">
    <w:name w:val="文章内容 字符"/>
    <w:link w:val="aff"/>
    <w:rPr>
      <w:rFonts w:ascii="Times New Roman" w:eastAsia="Times New Roman" w:hAnsi="Times New Roman" w:cs="Times New Roman"/>
      <w:color w:val="000000"/>
      <w:szCs w:val="21"/>
    </w:rPr>
  </w:style>
  <w:style w:type="character" w:customStyle="1" w:styleId="aa">
    <w:name w:val="页脚 字符"/>
    <w:link w:val="a9"/>
    <w:uiPriority w:val="99"/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页眉 字符"/>
    <w:link w:val="ab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1">
    <w:name w:val="摘要"/>
    <w:basedOn w:val="a"/>
    <w:autoRedefine/>
    <w:qFormat/>
    <w:pPr>
      <w:ind w:firstLineChars="0" w:firstLine="0"/>
    </w:pPr>
  </w:style>
  <w:style w:type="character" w:styleId="aff2">
    <w:name w:val="Placeholder Text"/>
    <w:uiPriority w:val="99"/>
    <w:semiHidden/>
    <w:rPr>
      <w:color w:val="808080"/>
    </w:rPr>
  </w:style>
  <w:style w:type="character" w:customStyle="1" w:styleId="a6">
    <w:name w:val="正文文本 字符"/>
    <w:link w:val="a5"/>
    <w:uiPriority w:val="1"/>
    <w:rPr>
      <w:rFonts w:ascii="Times New Roman" w:eastAsia="Times New Roman" w:hAnsi="Times New Roman" w:cs="Times New Roman"/>
      <w:kern w:val="0"/>
      <w:szCs w:val="21"/>
    </w:rPr>
  </w:style>
  <w:style w:type="paragraph" w:customStyle="1" w:styleId="aff3">
    <w:name w:val="致谢部分"/>
    <w:basedOn w:val="a5"/>
    <w:link w:val="aff4"/>
    <w:autoRedefine/>
    <w:qFormat/>
    <w:pPr>
      <w:ind w:firstLineChars="0" w:firstLine="0"/>
    </w:pPr>
    <w:rPr>
      <w:b/>
      <w:sz w:val="24"/>
      <w:szCs w:val="24"/>
    </w:rPr>
  </w:style>
  <w:style w:type="character" w:customStyle="1" w:styleId="aff4">
    <w:name w:val="致谢部分 字符"/>
    <w:link w:val="aff3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f5">
    <w:name w:val="作者信息"/>
    <w:basedOn w:val="a"/>
    <w:autoRedefine/>
    <w:qFormat/>
    <w:pPr>
      <w:ind w:firstLineChars="0" w:firstLine="0"/>
    </w:p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Times New Roman" w:hAnsi="Times New Roman" w:cs="Times New Roman"/>
      <w:szCs w:val="21"/>
    </w:rPr>
  </w:style>
  <w:style w:type="character" w:customStyle="1" w:styleId="af">
    <w:name w:val="批注主题 字符"/>
    <w:basedOn w:val="a4"/>
    <w:link w:val="ae"/>
    <w:uiPriority w:val="99"/>
    <w:semiHidden/>
    <w:rPr>
      <w:rFonts w:ascii="Times New Roman" w:eastAsia="Times New Roman" w:hAnsi="Times New Roman" w:cs="Times New Roman"/>
      <w:b/>
      <w:bCs/>
      <w:szCs w:val="21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Donna Yeo</cp:lastModifiedBy>
  <cp:revision>35</cp:revision>
  <dcterms:created xsi:type="dcterms:W3CDTF">2025-11-06T14:50:00Z</dcterms:created>
  <dcterms:modified xsi:type="dcterms:W3CDTF">2025-11-17T05:33:00Z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40DF45BC377ACCA01D5411694A466862_42</vt:lpwstr>
  </property>
</Properties>
</file>